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51560" cy="13608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sg-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60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40"/>
      </w:pPr>
      <w:r>
        <w:rPr>
          <w:b/>
          <w:i w:val="0"/>
          <w:color w:val="5145E5"/>
          <w:sz w:val="22"/>
        </w:rPr>
        <w:t>Proposal Artifact · Staffing &amp; Teaming</w:t>
      </w:r>
    </w:p>
    <w:p>
      <w:pPr>
        <w:spacing w:after="40"/>
      </w:pPr>
      <w:r>
        <w:rPr>
          <w:b/>
          <w:color w:val="14122B"/>
          <w:sz w:val="46"/>
        </w:rPr>
        <w:t>Staffing &amp; Teaming Plan</w:t>
      </w:r>
    </w:p>
    <w:p>
      <w:pPr>
        <w:spacing w:after="280"/>
      </w:pPr>
      <w:r>
        <w:rPr>
          <w:b w:val="0"/>
          <w:i w:val="0"/>
          <w:color w:val="5A6472"/>
          <w:sz w:val="26"/>
        </w:rPr>
        <w:t>Personnel structure, work-share, and dual-lane teaming construct</w:t>
      </w:r>
    </w:p>
    <w:p>
      <w:pPr>
        <w:spacing w:after="20"/>
      </w:pPr>
      <w:r>
        <w:rPr>
          <w:b/>
          <w:sz w:val="19"/>
        </w:rPr>
        <w:t xml:space="preserve">Prepared for:  </w:t>
      </w:r>
      <w:r>
        <w:rPr>
          <w:color w:val="14122B"/>
          <w:sz w:val="19"/>
        </w:rPr>
        <w:t>U.S. Department of Veterans Affairs — Veterans Health Administration</w:t>
      </w:r>
    </w:p>
    <w:p>
      <w:pPr>
        <w:spacing w:after="20"/>
      </w:pPr>
      <w:r>
        <w:rPr>
          <w:b/>
          <w:sz w:val="19"/>
        </w:rPr>
        <w:t xml:space="preserve">Solicitation:  </w:t>
      </w:r>
      <w:r>
        <w:rPr>
          <w:color w:val="14122B"/>
          <w:sz w:val="19"/>
        </w:rPr>
        <w:t>36C77626Q0191  (NAICS 541990)</w:t>
      </w:r>
    </w:p>
    <w:p>
      <w:pPr>
        <w:spacing w:after="20"/>
      </w:pPr>
      <w:r>
        <w:rPr>
          <w:b/>
          <w:sz w:val="19"/>
        </w:rPr>
        <w:t xml:space="preserve">Author:  </w:t>
      </w:r>
      <w:r>
        <w:rPr>
          <w:color w:val="14122B"/>
          <w:sz w:val="19"/>
        </w:rPr>
        <w:t>Jelani House, Engagement Manager</w:t>
      </w:r>
    </w:p>
    <w:p>
      <w:pPr>
        <w:spacing w:after="20"/>
      </w:pPr>
      <w:r>
        <w:rPr>
          <w:b/>
          <w:sz w:val="19"/>
        </w:rPr>
        <w:t xml:space="preserve">Firm:  </w:t>
      </w:r>
      <w:r>
        <w:rPr>
          <w:color w:val="14122B"/>
          <w:sz w:val="19"/>
        </w:rPr>
        <w:t>House Strategies Group, LLC  ·  SBA 8(a) / SDB</w:t>
      </w:r>
    </w:p>
    <w:p>
      <w:pPr>
        <w:spacing w:after="20"/>
      </w:pPr>
      <w:r>
        <w:rPr>
          <w:b/>
          <w:sz w:val="19"/>
        </w:rPr>
        <w:t xml:space="preserve">Date:  </w:t>
      </w:r>
      <w:r>
        <w:rPr>
          <w:color w:val="14122B"/>
          <w:sz w:val="19"/>
        </w:rPr>
        <w:t>May 31, 2026</w:t>
      </w:r>
    </w:p>
    <w:p>
      <w:pPr>
        <w:spacing w:after="20"/>
      </w:pPr>
      <w:r>
        <w:rPr>
          <w:b/>
          <w:sz w:val="19"/>
        </w:rPr>
        <w:t xml:space="preserve">Contact:  </w:t>
      </w:r>
      <w:r>
        <w:rPr>
          <w:color w:val="14122B"/>
          <w:sz w:val="19"/>
        </w:rPr>
        <w:t>jelani@housestrategiesgroup.com  ·  (434) 981-5295</w:t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80"/>
      </w:pPr>
      <w:r>
        <w:rPr>
          <w:b w:val="0"/>
          <w:i/>
          <w:color w:val="5A6472"/>
          <w:sz w:val="16"/>
        </w:rPr>
        <w:t>Prepared for U.S. Department of Veterans Affairs — Veterans Health Administration in response to Sources Sought 36C77626Q0191. Real figures are sourced from BLS OEWS (2025) and VA OIG (FY2025); commercial-survey blends and VHA-current pay are illustrative pending licensed surveys and the VHA HR extract. Independent submission — not affiliated with or endorsed by the U.S. Department of Veterans Affairs.</w:t>
      </w:r>
    </w:p>
    <w:p>
      <w:r>
        <w:br w:type="page"/>
      </w:r>
    </w:p>
    <w:p>
      <w:pPr>
        <w:spacing w:before="160" w:after="40"/>
      </w:pPr>
      <w:r>
        <w:rPr>
          <w:b/>
          <w:color w:val="5145E5"/>
          <w:sz w:val="26"/>
        </w:rPr>
        <w:t>1.  Teaming structure — dual-lane</w:t>
      </w:r>
    </w:p>
    <w:p>
      <w:pPr>
        <w:spacing w:after="80"/>
      </w:pPr>
      <w:r>
        <w:rPr>
          <w:b w:val="0"/>
          <w:i w:val="0"/>
          <w:sz w:val="19"/>
        </w:rPr>
        <w:t>The team fields a compliant prime in either acquisition lane. The compensation methodology and Task 4 platform are HSG-built and stay with HSG in both.</w:t>
      </w:r>
    </w:p>
    <w:p>
      <w:pPr>
        <w:spacing w:after="40"/>
      </w:pPr>
      <w:r>
        <w:rPr>
          <w:b/>
          <w:i w:val="0"/>
          <w:sz w:val="19"/>
        </w:rPr>
        <w:t>Lane A — SDVOSB Joint Venture (if VA invokes Vets First, 38 U.S.C. §8127):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Firm</w:t>
            </w:r>
          </w:p>
        </w:tc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Role</w:t>
            </w:r>
          </w:p>
        </w:tc>
        <w:tc>
          <w:tcPr>
            <w:tcW w:type="dxa" w:w="3264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Work-share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Riley McGuire Partners (SDVOSB)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Managing venturer — survey operations + program management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45%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House Strategies Group (8a/SDB)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JV partner — compensation-analysis engine + Task 4 platform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40%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Emax (WOSB)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Analytical surge subcontractor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15%</w:t>
            </w:r>
          </w:p>
        </w:tc>
      </w:tr>
    </w:tbl>
    <w:p>
      <w:pPr>
        <w:spacing w:after="40"/>
      </w:pPr>
      <w:r>
        <w:rPr>
          <w:b/>
          <w:i w:val="0"/>
          <w:sz w:val="19"/>
        </w:rPr>
        <w:t>Lane B — HSG 8(a) prime (if 8(a) or open):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Firm</w:t>
            </w:r>
          </w:p>
        </w:tc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Role</w:t>
            </w:r>
          </w:p>
        </w:tc>
        <w:tc>
          <w:tcPr>
            <w:tcW w:type="dxa" w:w="3264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Work-share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House Strategies Group (8a/SDB)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Prime — single point of accountability; self-performs analytical core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68%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Riley McGuire Partners (SDVOSB)</w:t>
            </w:r>
          </w:p>
        </w:tc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Service-Disabled Veteran subcontractor — survey operations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17%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Emax (WOSB)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Analytical surge subcontractor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15%</w:t>
            </w:r>
          </w:p>
        </w:tc>
      </w:tr>
    </w:tbl>
    <w:p>
      <w:pPr>
        <w:spacing w:after="80"/>
      </w:pPr>
      <w:r>
        <w:rPr>
          <w:b w:val="0"/>
          <w:i w:val="0"/>
          <w:color w:val="5A6472"/>
          <w:sz w:val="17"/>
        </w:rPr>
        <w:t>Critical dependency: RMP must hold an active SBA-certified SDVOSB status and self-perform ≥40% of the JV's work (survey operations + PM) for Lane A to be compliant.</w:t>
      </w:r>
    </w:p>
    <w:p>
      <w:pPr>
        <w:spacing w:before="160" w:after="40"/>
      </w:pPr>
      <w:r>
        <w:rPr>
          <w:b/>
          <w:color w:val="5145E5"/>
          <w:sz w:val="26"/>
        </w:rPr>
        <w:t>2.  Personnel structure — HSG core team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Key personnel</w:t>
            </w:r>
          </w:p>
        </w:tc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Title</w:t>
            </w:r>
          </w:p>
        </w:tc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Study role</w:t>
            </w:r>
          </w:p>
        </w:tc>
        <w:tc>
          <w:tcPr>
            <w:tcW w:type="dxa" w:w="1958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PWS</w:t>
            </w:r>
          </w:p>
        </w:tc>
        <w:tc>
          <w:tcPr>
            <w:tcW w:type="dxa" w:w="1958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6"/>
              </w:rPr>
              <w:t>Alloc.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Jelani House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Founder &amp; Managing Director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Engagement Manager / Project Director &amp; Task 4 Platform Owner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All tasks · Task 4 lead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12%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Raina Cook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Senior Compensation Analyst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Market Benchmarking Lead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Task 2 (lead) · Task 1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20%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Gilda Weech-House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Senior HR Officer (Ret.), CJE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Job-Architecture Lead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Task 5 (lead) · Task 2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16%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Michael Nelson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Senior Consultant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Data Operations &amp; Crosswalk Lead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Task 4 (4C–4D) · Task 2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14%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Joel V. Sutherland, MA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Classification &amp; Compliance Analyst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Title 5 / FLSA &amp; SSR Specialist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Task 5 · SSR packages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10%</w:t>
            </w:r>
          </w:p>
        </w:tc>
      </w:tr>
      <w:tr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Laverne A. Cunningham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Senior HR SME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Survey Licensing &amp; Physician-Pay Panels</w:t>
            </w:r>
          </w:p>
        </w:tc>
        <w:tc>
          <w:tcPr>
            <w:tcW w:type="dxa" w:w="1958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Task 1 (lead) · Task 2</w:t>
            </w:r>
          </w:p>
        </w:tc>
        <w:tc>
          <w:tcPr>
            <w:tcW w:type="dxa" w:w="1958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14%</w:t>
            </w:r>
          </w:p>
        </w:tc>
      </w:tr>
      <w:tr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Amy Han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Analyst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Geographic Differentials, QA &amp; Production</w:t>
            </w:r>
          </w:p>
        </w:tc>
        <w:tc>
          <w:tcPr>
            <w:tcW w:type="dxa" w:w="1958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Task 3 · all deliverables QA</w:t>
            </w:r>
          </w:p>
        </w:tc>
        <w:tc>
          <w:tcPr>
            <w:tcW w:type="dxa" w:w="1958"/>
          </w:tcPr>
          <w:p>
            <w:pPr>
              <w:jc w:val="right"/>
            </w:pPr>
            <w:r/>
            <w:r>
              <w:rPr>
                <w:b w:val="0"/>
                <w:sz w:val="16"/>
              </w:rPr>
              <w:t>8%</w:t>
            </w:r>
          </w:p>
        </w:tc>
      </w:tr>
    </w:tbl>
    <w:p>
      <w:pPr>
        <w:spacing w:before="160" w:after="40"/>
      </w:pPr>
      <w:r>
        <w:rPr>
          <w:b/>
          <w:color w:val="5145E5"/>
          <w:sz w:val="26"/>
        </w:rPr>
        <w:t>3.  Capability assessment</w:t>
      </w:r>
    </w:p>
    <w:p>
      <w:pPr>
        <w:spacing w:after="40"/>
      </w:pPr>
      <w:r>
        <w:rPr>
          <w:b w:val="0"/>
          <w:i w:val="0"/>
          <w:sz w:val="19"/>
        </w:rPr>
        <w:t>•  Strengths: federal classification (State Dept / OPM FES), Title 5 + SSR, survey licensing, data-ops &amp; crosswalk, and the HSG-owned Task 4 platform.</w:t>
      </w:r>
    </w:p>
    <w:p>
      <w:pPr>
        <w:spacing w:after="40"/>
      </w:pPr>
      <w:r>
        <w:rPr>
          <w:b w:val="0"/>
          <w:i w:val="0"/>
          <w:sz w:val="19"/>
        </w:rPr>
        <w:t>•  Priority add: a Healthcare Provider-Compensation SME with §7431 physician-pay-panel and SullivanCotter/MGMA/AMGA depth — the one gap relative to the clinical core of the work.</w:t>
      </w:r>
    </w:p>
    <w:p>
      <w:pPr>
        <w:spacing w:after="80"/>
      </w:pPr>
      <w:r>
        <w:rPr>
          <w:b w:val="0"/>
          <w:i w:val="0"/>
          <w:sz w:val="19"/>
        </w:rPr>
        <w:t>•  Secondary: confirm RMP fields a §7451 Survey-Operations lead; add a cloud/data engineer behind Data Ops for Task 4 production.</w:t>
      </w:r>
    </w:p>
    <w:p>
      <w:pPr>
        <w:spacing w:before="240" w:after="40"/>
      </w:pPr>
      <w:r>
        <w:rPr>
          <w:b/>
          <w:color w:val="14122B"/>
          <w:sz w:val="22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Prepared — Jelani House, Engagement Manager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Reviewed — HSG Compensation Lead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Approved — VA Compensation Authority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A6472"/>
        <w:sz w:val="14"/>
      </w:rPr>
      <w:t>House Strategies Group, LLC  ·  UEI EAE1MJHMN2Z1  ·  CAGE 7W4Y5  ·  NAICS 541990 (size std $19.5M)  ·  Washington, DC  ·  Tampa, FL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5145E5"/>
        <w:sz w:val="16"/>
      </w:rPr>
      <w:t>HOUSE STRATEGIES GROUP</w:t>
    </w:r>
    <w:r>
      <w:rPr>
        <w:color w:val="5A6472"/>
        <w:sz w:val="16"/>
      </w:rPr>
      <w:t xml:space="preserve">    VHA Salary Survey  ·  Sol. 36C77626Q0191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