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51560" cy="13608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sg-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60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40"/>
      </w:pPr>
      <w:r>
        <w:rPr>
          <w:b/>
          <w:i w:val="0"/>
          <w:color w:val="5145E5"/>
          <w:sz w:val="22"/>
        </w:rPr>
        <w:t>Deliverable · 38 U.S.C. §7451 Annual Survey</w:t>
      </w:r>
    </w:p>
    <w:p>
      <w:pPr>
        <w:spacing w:after="40"/>
      </w:pPr>
      <w:r>
        <w:rPr>
          <w:b/>
          <w:color w:val="14122B"/>
          <w:sz w:val="46"/>
        </w:rPr>
        <w:t>Nurse Locality Pay Survey Report</w:t>
      </w:r>
    </w:p>
    <w:p>
      <w:pPr>
        <w:spacing w:after="280"/>
      </w:pPr>
      <w:r>
        <w:rPr>
          <w:b w:val="0"/>
          <w:i w:val="0"/>
          <w:color w:val="5A6472"/>
          <w:sz w:val="26"/>
        </w:rPr>
        <w:t>San Francisco VA Medical Center — San Francisco, CA  ·  VISN 21  ·  Survey Period FY2026</w:t>
      </w:r>
    </w:p>
    <w:p>
      <w:pPr>
        <w:spacing w:after="20"/>
      </w:pPr>
      <w:r>
        <w:rPr>
          <w:b/>
          <w:sz w:val="19"/>
        </w:rPr>
        <w:t xml:space="preserve">Facility:  </w:t>
      </w:r>
      <w:r>
        <w:rPr>
          <w:color w:val="14122B"/>
          <w:sz w:val="19"/>
        </w:rPr>
        <w:t>San Francisco VA Medical Center</w:t>
      </w:r>
    </w:p>
    <w:p>
      <w:pPr>
        <w:spacing w:after="20"/>
      </w:pPr>
      <w:r>
        <w:rPr>
          <w:b/>
          <w:sz w:val="19"/>
        </w:rPr>
        <w:t xml:space="preserve">Prepared for:  </w:t>
      </w:r>
      <w:r>
        <w:rPr>
          <w:color w:val="14122B"/>
          <w:sz w:val="19"/>
        </w:rPr>
        <w:t>U.S. Department of Veterans Affairs — Veterans Health Administration</w:t>
      </w:r>
    </w:p>
    <w:p>
      <w:pPr>
        <w:spacing w:after="20"/>
      </w:pPr>
      <w:r>
        <w:rPr>
          <w:b/>
          <w:sz w:val="19"/>
        </w:rPr>
        <w:t xml:space="preserve">Solicitation:  </w:t>
      </w:r>
      <w:r>
        <w:rPr>
          <w:color w:val="14122B"/>
          <w:sz w:val="19"/>
        </w:rPr>
        <w:t>36C77626Q0191  (NAICS 541990)</w:t>
      </w:r>
    </w:p>
    <w:p>
      <w:pPr>
        <w:spacing w:after="20"/>
      </w:pPr>
      <w:r>
        <w:rPr>
          <w:b/>
          <w:sz w:val="19"/>
        </w:rPr>
        <w:t xml:space="preserve">Author:  </w:t>
      </w:r>
      <w:r>
        <w:rPr>
          <w:color w:val="14122B"/>
          <w:sz w:val="19"/>
        </w:rPr>
        <w:t>Jelani House, Engagement Manager</w:t>
      </w:r>
    </w:p>
    <w:p>
      <w:pPr>
        <w:spacing w:after="20"/>
      </w:pPr>
      <w:r>
        <w:rPr>
          <w:b/>
          <w:sz w:val="19"/>
        </w:rPr>
        <w:t xml:space="preserve">Firm:  </w:t>
      </w:r>
      <w:r>
        <w:rPr>
          <w:color w:val="14122B"/>
          <w:sz w:val="19"/>
        </w:rPr>
        <w:t>House Strategies Group, LLC  ·  SBA 8(a) / SDB</w:t>
      </w:r>
    </w:p>
    <w:p>
      <w:pPr>
        <w:spacing w:after="20"/>
      </w:pPr>
      <w:r>
        <w:rPr>
          <w:b/>
          <w:sz w:val="19"/>
        </w:rPr>
        <w:t xml:space="preserve">Date:  </w:t>
      </w:r>
      <w:r>
        <w:rPr>
          <w:color w:val="14122B"/>
          <w:sz w:val="19"/>
        </w:rPr>
        <w:t>May 31, 2026</w:t>
      </w:r>
    </w:p>
    <w:p>
      <w:pPr>
        <w:spacing w:after="20"/>
      </w:pPr>
      <w:r>
        <w:rPr>
          <w:b/>
          <w:sz w:val="19"/>
        </w:rPr>
        <w:t xml:space="preserve">Contact:  </w:t>
      </w:r>
      <w:r>
        <w:rPr>
          <w:color w:val="14122B"/>
          <w:sz w:val="19"/>
        </w:rPr>
        <w:t>jelani@housestrategiesgroup.com  ·  (434) 981-5295</w:t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80"/>
      </w:pPr>
      <w:r>
        <w:rPr>
          <w:b w:val="0"/>
          <w:i/>
          <w:color w:val="5A6472"/>
          <w:sz w:val="16"/>
        </w:rPr>
        <w:t>Prepared for U.S. Department of Veterans Affairs — Veterans Health Administration in response to Sources Sought 36C77626Q0191. Real figures are sourced from BLS OEWS (2025) and VA OIG (FY2025); commercial-survey blends and VHA-current pay are illustrative pending licensed surveys and the VHA HR extract. Independent submission — not affiliated with or endorsed by the U.S. Department of Veterans Affairs.</w:t>
      </w:r>
    </w:p>
    <w:p>
      <w:r>
        <w:br w:type="page"/>
      </w:r>
    </w:p>
    <w:p>
      <w:pPr>
        <w:spacing w:before="160" w:after="40"/>
      </w:pPr>
      <w:r>
        <w:rPr>
          <w:b/>
          <w:color w:val="5145E5"/>
          <w:sz w:val="26"/>
        </w:rPr>
        <w:t>1.  Local labor-market reference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Measure</w:t>
            </w:r>
          </w:p>
        </w:tc>
        <w:tc>
          <w:tcPr>
            <w:tcW w:type="dxa" w:w="3264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Value</w:t>
            </w:r>
          </w:p>
        </w:tc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Source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Local RN market median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$186,610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BLS OEWS 2025 (SOC 29-1141) — real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National RN median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$97,550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BLS OEWS 2025 — real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Cost-of-labor index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191  (national = 100)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Computed: metro ÷ national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Locality differential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+91%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vs national median</w:t>
            </w:r>
          </w:p>
        </w:tc>
      </w:tr>
    </w:tbl>
    <w:p>
      <w:pPr>
        <w:spacing w:before="160" w:after="40"/>
      </w:pPr>
      <w:r>
        <w:rPr>
          <w:b/>
          <w:color w:val="5145E5"/>
          <w:sz w:val="26"/>
        </w:rPr>
        <w:t>2.  Comparator employers surveyed  (illustrative)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Comparator employer</w:t>
            </w:r>
          </w:p>
        </w:tc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Type</w:t>
            </w:r>
          </w:p>
        </w:tc>
        <w:tc>
          <w:tcPr>
            <w:tcW w:type="dxa" w:w="3264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RN median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UCSF Medical Center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Academic medical center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$199,000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Kaiser Permanente — San Francisco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Integrated system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$196,000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Stanford Health Care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Academic medical center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$192,000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Sutter / CPMC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Community system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$184,000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Zuckerberg SF General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Public safety-net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$181,000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Dignity Health — St. Mary's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Community hospital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$178,000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John Muir Health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Regional system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$183,000</w:t>
            </w:r>
          </w:p>
        </w:tc>
      </w:tr>
    </w:tbl>
    <w:p>
      <w:pPr>
        <w:spacing w:after="80"/>
      </w:pPr>
      <w:r>
        <w:rPr>
          <w:b w:val="0"/>
          <w:i w:val="0"/>
          <w:color w:val="5A6472"/>
          <w:sz w:val="18"/>
        </w:rPr>
        <w:t>Comparator median: $184,000 across 7 surveyed employers (5–12 required under §7451).</w:t>
      </w:r>
    </w:p>
    <w:p>
      <w:pPr>
        <w:spacing w:before="160" w:after="40"/>
      </w:pPr>
      <w:r>
        <w:rPr>
          <w:b/>
          <w:color w:val="5145E5"/>
          <w:sz w:val="26"/>
        </w:rPr>
        <w:t>3.  Recommended Nurse Locality Pay schedule  (illustrative)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Grade</w:t>
            </w:r>
          </w:p>
        </w:tc>
        <w:tc>
          <w:tcPr>
            <w:tcW w:type="dxa" w:w="244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Minimum</w:t>
            </w:r>
          </w:p>
        </w:tc>
        <w:tc>
          <w:tcPr>
            <w:tcW w:type="dxa" w:w="244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Midpoint</w:t>
            </w:r>
          </w:p>
        </w:tc>
        <w:tc>
          <w:tcPr>
            <w:tcW w:type="dxa" w:w="244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Maximum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I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$132,000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$150,000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$168,000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II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$150,000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$172,000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$194,000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III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$172,000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$196,000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$220,000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IV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$196,000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$224,000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$252,000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V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$224,000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$256,000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$288,000</w:t>
            </w:r>
          </w:p>
        </w:tc>
      </w:tr>
    </w:tbl>
    <w:p>
      <w:pPr>
        <w:spacing w:before="160" w:after="40"/>
      </w:pPr>
      <w:r>
        <w:rPr>
          <w:b/>
          <w:color w:val="5145E5"/>
          <w:sz w:val="26"/>
        </w:rPr>
        <w:t>4.  Network context — all surveyed VA medical centers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VA Medical Center</w:t>
            </w:r>
          </w:p>
        </w:tc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Metro</w:t>
            </w:r>
          </w:p>
        </w:tc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VISN</w:t>
            </w:r>
          </w:p>
        </w:tc>
        <w:tc>
          <w:tcPr>
            <w:tcW w:type="dxa" w:w="195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Index</w:t>
            </w:r>
          </w:p>
        </w:tc>
        <w:tc>
          <w:tcPr>
            <w:tcW w:type="dxa" w:w="195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RN median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San Francisco VA Medical Center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San Francisco, CA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21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191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$186,610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VA Greater Los Angeles HCS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Los Angeles, CA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22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139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$135,560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VA Puget Sound HCS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Seattle, WA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131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$128,260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VA NY Harbor HCS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New York, NY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123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$119,720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VA Boston HCS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Boston, MA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109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$106,180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Washington DC VA Medical Center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Washington, DC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5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105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$102,710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Edward Hines Jr. VA Hospital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Hines, IL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12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103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$100,490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VA Eastern Colorado HCS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Aurora, CO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19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104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$101,130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Minneapolis VA Health Care System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Minneapolis, MN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23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106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$103,040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Phoenix VA Health Care System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Phoenix, AZ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22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103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$100,830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Michael E. DeBakey VA Medical Center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Houston, TX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16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102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$99,830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Atlanta VA Health Care System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Decatur, GA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7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103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$100,490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James A. Haley Veterans' Hospital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Tampa, FL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8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88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$85,470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South Texas Veterans HCS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San Antonio, TX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17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97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$94,370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Tennessee Valley Healthcare System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Nashville, TN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9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86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$84,040</w:t>
            </w:r>
          </w:p>
        </w:tc>
      </w:tr>
    </w:tbl>
    <w:p>
      <w:pPr>
        <w:spacing w:before="160" w:after="40"/>
      </w:pPr>
      <w:r>
        <w:rPr>
          <w:b/>
          <w:color w:val="5145E5"/>
          <w:sz w:val="26"/>
        </w:rPr>
        <w:t>5.  Methodology</w:t>
      </w:r>
    </w:p>
    <w:p>
      <w:pPr>
        <w:spacing w:after="80"/>
      </w:pPr>
      <w:r>
        <w:rPr>
          <w:b w:val="0"/>
          <w:i w:val="0"/>
          <w:sz w:val="19"/>
        </w:rPr>
        <w:t>Wages aged to a common effective date and weighted by employer size; the local-market reference anchors to BLS OEWS metro data with the facility cost-of-labor index. A 30-day review is triggered when BLS publishes new OEWS metro data. Source-to-recommendation lineage is retained in the Task 4 platform (4I) for audit.</w:t>
      </w:r>
    </w:p>
    <w:p>
      <w:pPr>
        <w:spacing w:before="240" w:after="40"/>
      </w:pPr>
      <w:r>
        <w:rPr>
          <w:b/>
          <w:color w:val="14122B"/>
          <w:sz w:val="22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Prepared — Jelani House, Engagement Manager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Reviewed — HSG Compensation Lead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Approved — VA Compensation Authority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A6472"/>
        <w:sz w:val="14"/>
      </w:rPr>
      <w:t>House Strategies Group, LLC  ·  UEI EAE1MJHMN2Z1  ·  CAGE 7W4Y5  ·  NAICS 541990 (size std $19.5M)  ·  Washington, DC  ·  Tampa, FL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5145E5"/>
        <w:sz w:val="16"/>
      </w:rPr>
      <w:t>HOUSE STRATEGIES GROUP</w:t>
    </w:r>
    <w:r>
      <w:rPr>
        <w:color w:val="5A6472"/>
        <w:sz w:val="16"/>
      </w:rPr>
      <w:t xml:space="preserve">    VHA Salary Survey  ·  Sol. 36C77626Q0191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