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51560" cy="1360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sg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0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40"/>
      </w:pPr>
      <w:r>
        <w:rPr>
          <w:b/>
          <w:i w:val="0"/>
          <w:color w:val="5145E5"/>
          <w:sz w:val="22"/>
        </w:rPr>
        <w:t>Deliverable · 38 U.S.C. §7431 Market Pay</w:t>
      </w:r>
    </w:p>
    <w:p>
      <w:pPr>
        <w:spacing w:after="40"/>
      </w:pPr>
      <w:r>
        <w:rPr>
          <w:b/>
          <w:color w:val="14122B"/>
          <w:sz w:val="46"/>
        </w:rPr>
        <w:t>Physician Market-Pay Panel Packet</w:t>
      </w:r>
    </w:p>
    <w:p>
      <w:pPr>
        <w:spacing w:after="280"/>
      </w:pPr>
      <w:r>
        <w:rPr>
          <w:b w:val="0"/>
          <w:i w:val="0"/>
          <w:color w:val="5A6472"/>
          <w:sz w:val="26"/>
        </w:rPr>
        <w:t>Blended specialty market reference for Compensation Panel determinations</w:t>
      </w:r>
    </w:p>
    <w:p>
      <w:pPr>
        <w:spacing w:after="20"/>
      </w:pPr>
      <w:r>
        <w:rPr>
          <w:b/>
          <w:sz w:val="19"/>
        </w:rPr>
        <w:t xml:space="preserve">Prepared for:  </w:t>
      </w:r>
      <w:r>
        <w:rPr>
          <w:color w:val="14122B"/>
          <w:sz w:val="19"/>
        </w:rPr>
        <w:t>U.S. Department of Veterans Affairs — Veterans Health Administration</w:t>
      </w:r>
    </w:p>
    <w:p>
      <w:pPr>
        <w:spacing w:after="20"/>
      </w:pPr>
      <w:r>
        <w:rPr>
          <w:b/>
          <w:sz w:val="19"/>
        </w:rPr>
        <w:t xml:space="preserve">Solicitation:  </w:t>
      </w:r>
      <w:r>
        <w:rPr>
          <w:color w:val="14122B"/>
          <w:sz w:val="19"/>
        </w:rPr>
        <w:t>36C77626Q0191  (NAICS 541990)</w:t>
      </w:r>
    </w:p>
    <w:p>
      <w:pPr>
        <w:spacing w:after="20"/>
      </w:pPr>
      <w:r>
        <w:rPr>
          <w:b/>
          <w:sz w:val="19"/>
        </w:rPr>
        <w:t xml:space="preserve">Author:  </w:t>
      </w:r>
      <w:r>
        <w:rPr>
          <w:color w:val="14122B"/>
          <w:sz w:val="19"/>
        </w:rPr>
        <w:t>Jelani House, Engagement Manager</w:t>
      </w:r>
    </w:p>
    <w:p>
      <w:pPr>
        <w:spacing w:after="20"/>
      </w:pPr>
      <w:r>
        <w:rPr>
          <w:b/>
          <w:sz w:val="19"/>
        </w:rPr>
        <w:t xml:space="preserve">Firm:  </w:t>
      </w:r>
      <w:r>
        <w:rPr>
          <w:color w:val="14122B"/>
          <w:sz w:val="19"/>
        </w:rPr>
        <w:t>House Strategies Group, LLC  ·  SBA 8(a) / SDB</w:t>
      </w:r>
    </w:p>
    <w:p>
      <w:pPr>
        <w:spacing w:after="20"/>
      </w:pPr>
      <w:r>
        <w:rPr>
          <w:b/>
          <w:sz w:val="19"/>
        </w:rPr>
        <w:t xml:space="preserve">Date:  </w:t>
      </w:r>
      <w:r>
        <w:rPr>
          <w:color w:val="14122B"/>
          <w:sz w:val="19"/>
        </w:rPr>
        <w:t>May 31, 2026</w:t>
      </w:r>
    </w:p>
    <w:p>
      <w:pPr>
        <w:spacing w:after="20"/>
      </w:pPr>
      <w:r>
        <w:rPr>
          <w:b/>
          <w:sz w:val="19"/>
        </w:rPr>
        <w:t xml:space="preserve">Contact:  </w:t>
      </w:r>
      <w:r>
        <w:rPr>
          <w:color w:val="14122B"/>
          <w:sz w:val="19"/>
        </w:rPr>
        <w:t>jelani@housestrategiesgroup.com  ·  (434) 981-5295</w:t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80"/>
      </w:pPr>
      <w:r>
        <w:rPr>
          <w:b w:val="0"/>
          <w:i/>
          <w:color w:val="5A6472"/>
          <w:sz w:val="16"/>
        </w:rPr>
        <w:t>Prepared for U.S. Department of Veterans Affairs — Veterans Health Administration in response to Sources Sought 36C77626Q0191. Real figures are sourced from BLS OEWS (2025) and VA OIG (FY2025); commercial-survey blends and VHA-current pay are illustrative pending licensed surveys and the VHA HR extract. Independent submission — not affiliated with or endorsed by the U.S. Department of Veterans Affairs.</w:t>
      </w:r>
    </w:p>
    <w:p>
      <w:r>
        <w:br w:type="page"/>
      </w:r>
    </w:p>
    <w:p>
      <w:pPr>
        <w:spacing w:before="160" w:after="40"/>
      </w:pPr>
      <w:r>
        <w:rPr>
          <w:b/>
          <w:color w:val="5145E5"/>
          <w:sz w:val="26"/>
        </w:rPr>
        <w:t>1.  Purpose</w:t>
      </w:r>
    </w:p>
    <w:p>
      <w:pPr>
        <w:spacing w:after="80"/>
      </w:pPr>
      <w:r>
        <w:rPr>
          <w:b w:val="0"/>
          <w:i w:val="0"/>
          <w:sz w:val="19"/>
        </w:rPr>
        <w:t>Under 38 U.S.C. §7431, VA physician pay = Base Pay + Market Pay + Performance Pay, with Market Pay set by facility Compensation Panels by specialty and tier. This packet supplies the blended commercial market reference (SullivanCotter / MGMA / AMGA) the panel uses to set defensible Market Pay. All physician figures are illustrative of the blended commercial market pending licensed surveys (Task 1).</w:t>
      </w:r>
    </w:p>
    <w:p>
      <w:pPr>
        <w:spacing w:before="160" w:after="40"/>
      </w:pPr>
      <w:r>
        <w:rPr>
          <w:b/>
          <w:color w:val="5145E5"/>
          <w:sz w:val="26"/>
        </w:rPr>
        <w:t>2.  Specialty market reference  ($000s total cash compensation)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99"/>
        <w:gridCol w:w="1399"/>
        <w:gridCol w:w="1399"/>
        <w:gridCol w:w="1399"/>
        <w:gridCol w:w="1399"/>
        <w:gridCol w:w="1399"/>
        <w:gridCol w:w="1399"/>
      </w:tblGrid>
      <w:tr>
        <w:tc>
          <w:tcPr>
            <w:tcW w:type="dxa" w:w="1399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Specialty</w:t>
            </w:r>
          </w:p>
        </w:tc>
        <w:tc>
          <w:tcPr>
            <w:tcW w:type="dxa" w:w="1399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P25</w:t>
            </w:r>
          </w:p>
        </w:tc>
        <w:tc>
          <w:tcPr>
            <w:tcW w:type="dxa" w:w="1399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P50</w:t>
            </w:r>
          </w:p>
        </w:tc>
        <w:tc>
          <w:tcPr>
            <w:tcW w:type="dxa" w:w="1399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P75</w:t>
            </w:r>
          </w:p>
        </w:tc>
        <w:tc>
          <w:tcPr>
            <w:tcW w:type="dxa" w:w="1399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P90</w:t>
            </w:r>
          </w:p>
        </w:tc>
        <w:tc>
          <w:tcPr>
            <w:tcW w:type="dxa" w:w="1399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VA market pay</w:t>
            </w:r>
          </w:p>
        </w:tc>
        <w:tc>
          <w:tcPr>
            <w:tcW w:type="dxa" w:w="1399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Shortage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Family Medicine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$235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$262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$345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$248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Internal Medicine — General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$240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$268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$255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Geriatrics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$232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$258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$292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$330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$252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Hospitalist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$262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$292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$332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$378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$278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Psychiatry — General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$268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$345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$398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$286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Emergency Medicine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$315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$400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$330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Physical Medicine &amp; Rehab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$285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$318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$360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$408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$300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Neurology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$278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$312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$358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$410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$292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Nephrology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$290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$325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$372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$430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$305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Pulmonology / Critical Care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$395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$520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$360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Pathology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$288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$322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$368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$420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$300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0A7D6C"/>
                <w:sz w:val="16"/>
              </w:rPr>
              <w:t>Low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Anesthesiology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$392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$438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$498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$565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$392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Radiology — Diagnostic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$432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$485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$552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$632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$420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Oncology / Hematology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$378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$425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$488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$562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$388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Gastroenterology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$472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$532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$612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$705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$455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Cardiology — Invasive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$512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$585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$678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$782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$488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Ophthalmology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$360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$402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$460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$528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$372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0A7D6C"/>
                <w:sz w:val="16"/>
              </w:rPr>
              <w:t>Low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Urology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$448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$505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$580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$668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$442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General Surgery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$378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$422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$482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$552</w:t>
            </w:r>
          </w:p>
        </w:tc>
        <w:tc>
          <w:tcPr>
            <w:tcW w:type="dxa" w:w="1399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$390</w:t>
            </w:r>
          </w:p>
        </w:tc>
        <w:tc>
          <w:tcPr>
            <w:tcW w:type="dxa" w:w="1399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6"/>
              </w:rPr>
              <w:t>Moderate</w:t>
            </w:r>
          </w:p>
        </w:tc>
      </w:tr>
      <w:tr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Orthopedic Surgery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$552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$628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$728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$845</w:t>
            </w:r>
          </w:p>
        </w:tc>
        <w:tc>
          <w:tcPr>
            <w:tcW w:type="dxa" w:w="1399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$520</w:t>
            </w:r>
          </w:p>
        </w:tc>
        <w:tc>
          <w:tcPr>
            <w:tcW w:type="dxa" w:w="1399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6"/>
              </w:rPr>
              <w:t>High</w:t>
            </w:r>
          </w:p>
        </w:tc>
      </w:tr>
    </w:tbl>
    <w:p>
      <w:pPr>
        <w:spacing w:after="80"/>
      </w:pPr>
      <w:r>
        <w:rPr>
          <w:b w:val="0"/>
          <w:i w:val="0"/>
          <w:color w:val="5A6472"/>
          <w:sz w:val="16"/>
        </w:rPr>
        <w:t>VA market pay shown is illustrative of a competitive §7431 panel determination; values in thousands of dollars (total cash compensation). Shortage risk reflects VHA recruitment difficulty.</w:t>
      </w:r>
    </w:p>
    <w:p>
      <w:pPr>
        <w:spacing w:before="160" w:after="40"/>
      </w:pPr>
      <w:r>
        <w:rPr>
          <w:b/>
          <w:color w:val="5145E5"/>
          <w:sz w:val="26"/>
        </w:rPr>
        <w:t>3.  Panel guidance</w:t>
      </w:r>
    </w:p>
    <w:p>
      <w:pPr>
        <w:spacing w:after="40"/>
      </w:pPr>
      <w:r>
        <w:rPr>
          <w:b w:val="0"/>
          <w:i w:val="0"/>
          <w:sz w:val="19"/>
        </w:rPr>
        <w:t>•  Specialties marked High shortage and priced below P50 (e.g., Psychiatry, Gastroenterology, Orthopedic Surgery) warrant Market Pay at or above the blended P50 to remain competitive.</w:t>
      </w:r>
    </w:p>
    <w:p>
      <w:pPr>
        <w:spacing w:after="40"/>
      </w:pPr>
      <w:r>
        <w:rPr>
          <w:b w:val="0"/>
          <w:i w:val="0"/>
          <w:sz w:val="19"/>
        </w:rPr>
        <w:t>•  Tier assignment follows facility complexity, subspecialty, and administrative duties; each determination is documented with the three-survey blend for FMV defensibility.</w:t>
      </w:r>
    </w:p>
    <w:p>
      <w:pPr>
        <w:spacing w:after="80"/>
      </w:pPr>
      <w:r>
        <w:rPr>
          <w:b w:val="0"/>
          <w:i w:val="0"/>
          <w:sz w:val="19"/>
        </w:rPr>
        <w:t>•  Panels reconvene on market refresh or when a recruitment/retention exception is filed.</w:t>
      </w:r>
    </w:p>
    <w:p>
      <w:pPr>
        <w:spacing w:before="240" w:after="40"/>
      </w:pPr>
      <w:r>
        <w:rPr>
          <w:b/>
          <w:color w:val="14122B"/>
          <w:sz w:val="22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Prepared — Jelani House, Engagement Manager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Reviewed — HSG Compensation Lead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Approved — VA Compensation Authority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A6472"/>
        <w:sz w:val="14"/>
      </w:rPr>
      <w:t>House Strategies Group, LLC  ·  UEI EAE1MJHMN2Z1  ·  CAGE 7W4Y5  ·  NAICS 541990 (size std $19.5M)  ·  Washington, DC  ·  Tampa, FL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5145E5"/>
        <w:sz w:val="16"/>
      </w:rPr>
      <w:t>HOUSE STRATEGIES GROUP</w:t>
    </w:r>
    <w:r>
      <w:rPr>
        <w:color w:val="5A6472"/>
        <w:sz w:val="16"/>
      </w:rPr>
      <w:t xml:space="preserve">    VHA Salary Survey  ·  Sol. 36C77626Q0191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